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word/footer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07"/>
        <w:ind w:left="364" w:right="486" w:firstLine="0"/>
        <w:jc w:val="center"/>
        <w:rPr>
          <w:rFonts w:ascii="新宋体" w:eastAsia="新宋体" w:hint="eastAsia"/>
          <w:sz w:val="92"/>
        </w:rPr>
      </w:pPr>
      <w:r>
        <w:rPr>
          <w:rFonts w:ascii="新宋体" w:eastAsia="新宋体" w:hint="eastAsia"/>
          <w:color w:val="FF0000"/>
          <w:w w:val="75"/>
          <w:sz w:val="92"/>
        </w:rPr>
        <w:t>福州市人民政府办公厅文件</w:t>
      </w:r>
    </w:p>
    <w:p>
      <w:pPr>
        <w:pStyle w:val="BodyText"/>
        <w:spacing w:before="7"/>
        <w:rPr>
          <w:rFonts w:ascii="新宋体"/>
          <w:sz w:val="100"/>
        </w:rPr>
      </w:pPr>
    </w:p>
    <w:p>
      <w:pPr>
        <w:pStyle w:val="BodyText"/>
        <w:ind w:left="364" w:right="465"/>
        <w:jc w:val="center"/>
      </w:pPr>
      <w:r>
        <w:rPr/>
        <w:t>榕政办规〔2025〕6 号</w:t>
      </w:r>
    </w:p>
    <w:p>
      <w:pPr>
        <w:pStyle w:val="BodyText"/>
        <w:spacing w:before="9"/>
        <w:rPr>
          <w:sz w:val="12"/>
        </w:rPr>
      </w:pPr>
      <w:r>
        <w:rPr/>
        <w:pict>
          <v:line style="position:absolute;mso-position-horizontal-relative:page;mso-position-vertical-relative:paragraph;z-index:-251658240;mso-wrap-distance-left:0;mso-wrap-distance-right:0" from="79.398849pt,10.847884pt" to="521.541737pt,10.847884pt" stroked="true" strokeweight="1.439977pt" strokecolor="#ff0000">
            <v:stroke dashstyle="solid"/>
            <w10:wrap type="topAndBottom"/>
          </v:line>
        </w:pic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26"/>
        </w:rPr>
      </w:pPr>
    </w:p>
    <w:p>
      <w:pPr>
        <w:pStyle w:val="Heading1"/>
      </w:pPr>
      <w:r>
        <w:rPr/>
        <w:t>福州市人民政府办公厅印发</w:t>
      </w:r>
    </w:p>
    <w:p>
      <w:pPr>
        <w:spacing w:line="603" w:lineRule="exact" w:before="0"/>
        <w:ind w:left="364" w:right="473" w:firstLine="0"/>
        <w:jc w:val="center"/>
        <w:rPr>
          <w:rFonts w:ascii="PMingLiU" w:eastAsia="PMingLiU" w:hint="eastAsia"/>
          <w:sz w:val="44"/>
        </w:rPr>
      </w:pPr>
      <w:r>
        <w:rPr>
          <w:rFonts w:ascii="PMingLiU" w:eastAsia="PMingLiU" w:hint="eastAsia"/>
          <w:sz w:val="44"/>
        </w:rPr>
        <w:t>关于促进商贸物流业发展九条措施的通知</w:t>
      </w:r>
    </w:p>
    <w:p>
      <w:pPr>
        <w:pStyle w:val="BodyText"/>
        <w:rPr>
          <w:rFonts w:ascii="PMingLiU"/>
          <w:sz w:val="20"/>
        </w:rPr>
      </w:pPr>
    </w:p>
    <w:p>
      <w:pPr>
        <w:pStyle w:val="BodyText"/>
        <w:spacing w:before="11"/>
        <w:rPr>
          <w:rFonts w:ascii="PMingLiU"/>
          <w:sz w:val="26"/>
        </w:rPr>
      </w:pPr>
    </w:p>
    <w:p>
      <w:pPr>
        <w:pStyle w:val="BodyText"/>
        <w:spacing w:line="304" w:lineRule="auto" w:before="55"/>
        <w:ind w:left="108" w:right="99"/>
      </w:pPr>
      <w:r>
        <w:rPr>
          <w:color w:val="1C1B10"/>
          <w:spacing w:val="-8"/>
        </w:rPr>
        <w:t>福州新区管委会，各县</w:t>
      </w:r>
      <w:r>
        <w:rPr>
          <w:color w:val="1C1B10"/>
          <w:spacing w:val="-6"/>
        </w:rPr>
        <w:t>（市）</w:t>
      </w:r>
      <w:r>
        <w:rPr>
          <w:color w:val="1C1B10"/>
          <w:spacing w:val="-8"/>
        </w:rPr>
        <w:t>区人民政府、高新区管委会，市直</w:t>
      </w:r>
      <w:r>
        <w:rPr>
          <w:color w:val="1C1B10"/>
          <w:spacing w:val="-38"/>
        </w:rPr>
        <w:t>各委、办、局</w:t>
      </w:r>
      <w:r>
        <w:rPr>
          <w:color w:val="1C1B10"/>
          <w:spacing w:val="-8"/>
        </w:rPr>
        <w:t>（</w:t>
      </w:r>
      <w:r>
        <w:rPr>
          <w:color w:val="1C1B10"/>
          <w:spacing w:val="-6"/>
        </w:rPr>
        <w:t>公司</w:t>
      </w:r>
      <w:r>
        <w:rPr>
          <w:color w:val="1C1B10"/>
          <w:spacing w:val="-116"/>
        </w:rPr>
        <w:t>）</w:t>
      </w:r>
      <w:r>
        <w:rPr>
          <w:color w:val="1C1B10"/>
          <w:spacing w:val="-20"/>
        </w:rPr>
        <w:t>，市属各高等院校，自贸区福州片区管委会：</w:t>
      </w:r>
    </w:p>
    <w:p>
      <w:pPr>
        <w:pStyle w:val="BodyText"/>
        <w:spacing w:line="304" w:lineRule="auto"/>
        <w:ind w:left="108" w:right="254" w:firstLine="628"/>
      </w:pPr>
      <w:r>
        <w:rPr>
          <w:color w:val="1C1B10"/>
        </w:rPr>
        <w:t>《关于促进商贸物流业发展九条措施》已经市政府研究同意，现印发给你们，请结合实际，认真抓好组织实施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spacing w:before="55"/>
        <w:ind w:left="737"/>
      </w:pPr>
      <w:r>
        <w:rPr/>
        <w:pict>
          <v:group style="position:absolute;margin-left:317.034698pt;margin-top:-105.807426pt;width:153.8pt;height:119.3pt;mso-position-horizontal-relative:page;mso-position-vertical-relative:paragraph;z-index:251660288" coordorigin="6341,-2116" coordsize="3076,2386">
            <v:shape style="position:absolute;left:6671;top:-2117;width:2386;height:2386" type="#_x0000_t75" stroked="false">
              <v:imagedata r:id="rId6" o:title=""/>
            </v:shape>
            <v:shape style="position:absolute;left:6340;top:-2117;width:3076;height:238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36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52"/>
                      </w:rPr>
                    </w:pPr>
                  </w:p>
                  <w:p>
                    <w:pPr>
                      <w:spacing w:line="302" w:lineRule="auto" w:before="0"/>
                      <w:ind w:left="309" w:right="0" w:hanging="310"/>
                      <w:jc w:val="left"/>
                      <w:rPr>
                        <w:sz w:val="32"/>
                      </w:rPr>
                    </w:pPr>
                    <w:r>
                      <w:rPr>
                        <w:color w:val="1C1B10"/>
                        <w:spacing w:val="-16"/>
                        <w:sz w:val="32"/>
                      </w:rPr>
                      <w:t>福州市人民政府办公厅</w:t>
                    </w:r>
                    <w:r>
                      <w:rPr>
                        <w:color w:val="1C1B10"/>
                        <w:spacing w:val="-3"/>
                        <w:sz w:val="32"/>
                      </w:rPr>
                      <w:t>2025</w:t>
                    </w:r>
                    <w:r>
                      <w:rPr>
                        <w:color w:val="1C1B10"/>
                        <w:spacing w:val="-62"/>
                        <w:sz w:val="32"/>
                      </w:rPr>
                      <w:t> 年 </w:t>
                    </w:r>
                    <w:r>
                      <w:rPr>
                        <w:color w:val="1C1B10"/>
                        <w:sz w:val="32"/>
                      </w:rPr>
                      <w:t>5</w:t>
                    </w:r>
                    <w:r>
                      <w:rPr>
                        <w:color w:val="1C1B10"/>
                        <w:spacing w:val="-63"/>
                        <w:sz w:val="32"/>
                      </w:rPr>
                      <w:t> 月 </w:t>
                    </w:r>
                    <w:r>
                      <w:rPr>
                        <w:color w:val="1C1B10"/>
                        <w:spacing w:val="-5"/>
                        <w:sz w:val="32"/>
                      </w:rPr>
                      <w:t>19</w:t>
                    </w:r>
                    <w:r>
                      <w:rPr>
                        <w:color w:val="1C1B10"/>
                        <w:spacing w:val="-45"/>
                        <w:sz w:val="32"/>
                      </w:rPr>
                      <w:t> 日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C1B10"/>
        </w:rPr>
        <w:t>（此件主动公开）</w:t>
      </w:r>
    </w:p>
    <w:p>
      <w:pPr>
        <w:spacing w:after="0"/>
        <w:sectPr>
          <w:footerReference w:type="default" r:id="rId5"/>
          <w:type w:val="continuous"/>
          <w:pgSz w:w="11910" w:h="16840"/>
          <w:pgMar w:footer="1523" w:top="1580" w:bottom="1720" w:left="1480" w:right="12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8"/>
        </w:rPr>
      </w:pPr>
    </w:p>
    <w:p>
      <w:pPr>
        <w:pStyle w:val="Heading1"/>
        <w:spacing w:line="240" w:lineRule="auto" w:before="38"/>
        <w:ind w:left="341" w:right="486"/>
      </w:pPr>
      <w:r>
        <w:rPr>
          <w:color w:val="1C1B10"/>
        </w:rPr>
        <w:t>关于促进商贸物流业发展九条措施</w:t>
      </w:r>
    </w:p>
    <w:p>
      <w:pPr>
        <w:pStyle w:val="BodyText"/>
        <w:spacing w:before="8"/>
        <w:rPr>
          <w:rFonts w:ascii="PMingLiU"/>
          <w:sz w:val="50"/>
        </w:rPr>
      </w:pPr>
    </w:p>
    <w:p>
      <w:pPr>
        <w:pStyle w:val="BodyText"/>
        <w:spacing w:line="350" w:lineRule="auto"/>
        <w:ind w:left="108" w:right="254" w:firstLine="628"/>
        <w:jc w:val="both"/>
      </w:pPr>
      <w:r>
        <w:rPr>
          <w:color w:val="1C1B10"/>
          <w:spacing w:val="-8"/>
        </w:rPr>
        <w:t>为深入贯彻党的二十大和二十届二中、三中全会精神，以服</w:t>
      </w:r>
      <w:r>
        <w:rPr>
          <w:color w:val="1C1B10"/>
          <w:spacing w:val="-6"/>
        </w:rPr>
        <w:t>务实体经济和人民群众为出发点、落脚点 降低物流成本，促进</w:t>
      </w:r>
      <w:r>
        <w:rPr>
          <w:color w:val="1C1B10"/>
          <w:spacing w:val="-8"/>
        </w:rPr>
        <w:t>福州商贸物流业高质量发展，结合我市实际，特制定以下措施</w:t>
      </w:r>
    </w:p>
    <w:p>
      <w:pPr>
        <w:pStyle w:val="BodyText"/>
        <w:spacing w:before="4"/>
        <w:ind w:left="737"/>
        <w:rPr>
          <w:rFonts w:ascii="黑体" w:eastAsia="黑体" w:hint="eastAsia"/>
        </w:rPr>
      </w:pPr>
      <w:r>
        <w:rPr>
          <w:rFonts w:ascii="黑体" w:eastAsia="黑体" w:hint="eastAsia"/>
          <w:color w:val="1C1B10"/>
        </w:rPr>
        <w:t>一、激励措施</w:t>
      </w:r>
    </w:p>
    <w:p>
      <w:pPr>
        <w:pStyle w:val="BodyText"/>
        <w:spacing w:before="190"/>
        <w:ind w:left="737"/>
        <w:rPr>
          <w:rFonts w:ascii="PMingLiU" w:eastAsia="PMingLiU" w:hint="eastAsia"/>
        </w:rPr>
      </w:pPr>
      <w:r>
        <w:rPr>
          <w:rFonts w:ascii="PMingLiU" w:eastAsia="PMingLiU" w:hint="eastAsia"/>
          <w:color w:val="1C1B10"/>
        </w:rPr>
        <w:t>（一）支持物流绿色智能化</w:t>
      </w:r>
    </w:p>
    <w:p>
      <w:pPr>
        <w:pStyle w:val="BodyText"/>
        <w:spacing w:line="350" w:lineRule="auto" w:before="153"/>
        <w:ind w:left="108" w:right="250" w:firstLine="628"/>
        <w:jc w:val="both"/>
      </w:pPr>
      <w:r>
        <w:rPr>
          <w:color w:val="1C1B10"/>
          <w:spacing w:val="-9"/>
        </w:rPr>
        <w:t>加快物流绿色智慧转型，鼓励物流企业更新老旧物流装备， </w:t>
      </w:r>
      <w:r>
        <w:rPr>
          <w:color w:val="1C1B10"/>
          <w:spacing w:val="-8"/>
        </w:rPr>
        <w:t>支持物流企业新购应用物流机器人、全自动分拣设备及其配套的立体货架、穿梭车智能化设施设备；支持物流企业新购新能源货车、叉车、城市配送无人机等绿色物流装备。按照不超过企业年</w:t>
      </w:r>
      <w:r>
        <w:rPr>
          <w:color w:val="1C1B10"/>
          <w:spacing w:val="-17"/>
        </w:rPr>
        <w:t>度智能化投资额的 </w:t>
      </w:r>
      <w:r>
        <w:rPr>
          <w:color w:val="1C1B10"/>
          <w:spacing w:val="-4"/>
        </w:rPr>
        <w:t>20</w:t>
      </w:r>
      <w:r>
        <w:rPr>
          <w:color w:val="1C1B10"/>
          <w:spacing w:val="-14"/>
        </w:rPr>
        <w:t>%，给予每家企业不超过 </w:t>
      </w:r>
      <w:r>
        <w:rPr>
          <w:color w:val="1C1B10"/>
          <w:spacing w:val="-3"/>
        </w:rPr>
        <w:t>100</w:t>
      </w:r>
      <w:r>
        <w:rPr>
          <w:color w:val="1C1B10"/>
          <w:spacing w:val="-21"/>
        </w:rPr>
        <w:t> 万元补助</w:t>
      </w:r>
    </w:p>
    <w:p>
      <w:pPr>
        <w:pStyle w:val="BodyText"/>
        <w:spacing w:before="7"/>
        <w:ind w:left="737"/>
        <w:rPr>
          <w:rFonts w:ascii="PMingLiU" w:eastAsia="PMingLiU" w:hint="eastAsia"/>
        </w:rPr>
      </w:pPr>
      <w:r>
        <w:rPr>
          <w:rFonts w:ascii="PMingLiU" w:eastAsia="PMingLiU" w:hint="eastAsia"/>
          <w:color w:val="1C1B10"/>
        </w:rPr>
        <w:t>（二）支持物流标准化</w:t>
      </w:r>
    </w:p>
    <w:p>
      <w:pPr>
        <w:pStyle w:val="BodyText"/>
        <w:spacing w:line="350" w:lineRule="auto" w:before="152"/>
        <w:ind w:left="108" w:right="250" w:firstLine="628"/>
        <w:jc w:val="both"/>
      </w:pPr>
      <w:r>
        <w:rPr>
          <w:color w:val="1C1B10"/>
          <w:spacing w:val="-26"/>
        </w:rPr>
        <w:t>提高物流标准化水平，鼓励供应链上下游企业“结对子”“建联盟”，建立物流标准化循环公用体系，对符合要求的应用标准托</w:t>
      </w:r>
      <w:r>
        <w:rPr>
          <w:color w:val="1C1B10"/>
          <w:spacing w:val="-7"/>
        </w:rPr>
        <w:t>盘、周转箱</w:t>
      </w:r>
      <w:r>
        <w:rPr>
          <w:color w:val="1C1B10"/>
          <w:spacing w:val="-6"/>
        </w:rPr>
        <w:t>（筐）</w:t>
      </w:r>
      <w:r>
        <w:rPr>
          <w:color w:val="1C1B10"/>
          <w:spacing w:val="-8"/>
        </w:rPr>
        <w:t>等物流标准化载具的实际支出费用，按照不超</w:t>
      </w:r>
      <w:r>
        <w:rPr>
          <w:color w:val="1C1B10"/>
          <w:spacing w:val="-16"/>
        </w:rPr>
        <w:t>过企业年度实际支出的 </w:t>
      </w:r>
      <w:r>
        <w:rPr>
          <w:color w:val="1C1B10"/>
          <w:spacing w:val="-4"/>
        </w:rPr>
        <w:t>5</w:t>
      </w:r>
      <w:r>
        <w:rPr>
          <w:color w:val="1C1B10"/>
          <w:spacing w:val="-14"/>
        </w:rPr>
        <w:t>%，给予每家企业不超过 </w:t>
      </w:r>
      <w:r>
        <w:rPr>
          <w:color w:val="1C1B10"/>
        </w:rPr>
        <w:t>20</w:t>
      </w:r>
      <w:r>
        <w:rPr>
          <w:color w:val="1C1B10"/>
          <w:spacing w:val="-22"/>
        </w:rPr>
        <w:t> 万元补助</w:t>
      </w:r>
    </w:p>
    <w:p>
      <w:pPr>
        <w:pStyle w:val="BodyText"/>
        <w:spacing w:before="6"/>
        <w:ind w:left="737"/>
        <w:rPr>
          <w:rFonts w:ascii="PMingLiU" w:eastAsia="PMingLiU" w:hint="eastAsia"/>
        </w:rPr>
      </w:pPr>
      <w:r>
        <w:rPr>
          <w:rFonts w:ascii="PMingLiU" w:eastAsia="PMingLiU" w:hint="eastAsia"/>
          <w:color w:val="1C1B10"/>
        </w:rPr>
        <w:t>（三）支持物流信息化</w:t>
      </w:r>
    </w:p>
    <w:p>
      <w:pPr>
        <w:pStyle w:val="BodyText"/>
        <w:spacing w:line="350" w:lineRule="auto" w:before="152"/>
        <w:ind w:left="108" w:right="99" w:firstLine="628"/>
      </w:pPr>
      <w:r>
        <w:rPr>
          <w:color w:val="1C1B10"/>
          <w:spacing w:val="-8"/>
        </w:rPr>
        <w:t>推进物流数据开放互联，鼓励供应链企业、物流企业建立仓</w:t>
      </w:r>
      <w:r>
        <w:rPr>
          <w:color w:val="1C1B10"/>
          <w:spacing w:val="-20"/>
        </w:rPr>
        <w:t>储、配送、运输等具有社会化公共服务功能的产业物流信息平台， </w:t>
      </w:r>
      <w:r>
        <w:rPr>
          <w:color w:val="1C1B10"/>
          <w:spacing w:val="-8"/>
        </w:rPr>
        <w:t>形成上下游产业链数据互联互通、车货匹配、智能化管理，按照</w:t>
      </w:r>
    </w:p>
    <w:p>
      <w:pPr>
        <w:pStyle w:val="BodyText"/>
        <w:spacing w:before="8"/>
        <w:rPr>
          <w:sz w:val="12"/>
        </w:rPr>
      </w:pPr>
    </w:p>
    <w:p>
      <w:pPr>
        <w:spacing w:before="63"/>
        <w:ind w:left="415" w:right="0" w:firstLine="0"/>
        <w:jc w:val="left"/>
        <w:rPr>
          <w:rFonts w:ascii="新宋体" w:hAnsi="新宋体"/>
          <w:sz w:val="28"/>
        </w:rPr>
      </w:pPr>
      <w:r>
        <w:rPr>
          <w:rFonts w:ascii="新宋体" w:hAnsi="新宋体"/>
          <w:sz w:val="28"/>
        </w:rPr>
        <w:t>— 2 —</w:t>
      </w:r>
    </w:p>
    <w:p>
      <w:pPr>
        <w:spacing w:after="0"/>
        <w:jc w:val="left"/>
        <w:rPr>
          <w:rFonts w:ascii="新宋体" w:hAnsi="新宋体"/>
          <w:sz w:val="28"/>
        </w:rPr>
        <w:sectPr>
          <w:footerReference w:type="default" r:id="rId7"/>
          <w:pgSz w:w="11910" w:h="16840"/>
          <w:pgMar w:footer="349" w:header="0" w:top="1580" w:bottom="540" w:left="1480" w:right="1260"/>
        </w:sect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spacing w:before="2"/>
        <w:rPr>
          <w:rFonts w:ascii="新宋体"/>
          <w:sz w:val="27"/>
        </w:rPr>
      </w:pPr>
    </w:p>
    <w:p>
      <w:pPr>
        <w:pStyle w:val="BodyText"/>
        <w:spacing w:line="350" w:lineRule="auto" w:before="56"/>
        <w:ind w:left="108" w:right="255"/>
      </w:pPr>
      <w:r>
        <w:rPr>
          <w:color w:val="1C1B10"/>
          <w:spacing w:val="-8"/>
        </w:rPr>
        <w:t>不超过企业对物流信息化项目年度投资额（</w:t>
      </w:r>
      <w:r>
        <w:rPr>
          <w:color w:val="1C1B10"/>
          <w:spacing w:val="-7"/>
        </w:rPr>
        <w:t>不含企业自主研发 </w:t>
      </w:r>
      <w:r>
        <w:rPr>
          <w:color w:val="1C1B10"/>
          <w:spacing w:val="-8"/>
        </w:rPr>
        <w:t>人员投入及内部管理费用</w:t>
      </w:r>
      <w:r>
        <w:rPr>
          <w:color w:val="1C1B10"/>
          <w:spacing w:val="-44"/>
        </w:rPr>
        <w:t>）</w:t>
      </w:r>
      <w:r>
        <w:rPr>
          <w:color w:val="1C1B10"/>
          <w:spacing w:val="-45"/>
        </w:rPr>
        <w:t>的 </w:t>
      </w:r>
      <w:r>
        <w:rPr>
          <w:color w:val="1C1B10"/>
          <w:spacing w:val="-14"/>
        </w:rPr>
        <w:t>10</w:t>
      </w:r>
      <w:r>
        <w:rPr>
          <w:color w:val="1C1B10"/>
          <w:spacing w:val="-17"/>
        </w:rPr>
        <w:t>%，给予每家企业不超过 </w:t>
      </w:r>
      <w:r>
        <w:rPr>
          <w:color w:val="1C1B10"/>
        </w:rPr>
        <w:t>50</w:t>
      </w:r>
      <w:r>
        <w:rPr>
          <w:color w:val="1C1B10"/>
          <w:spacing w:val="-31"/>
        </w:rPr>
        <w:t> 万元</w:t>
      </w:r>
      <w:r>
        <w:rPr>
          <w:color w:val="1C1B10"/>
          <w:spacing w:val="-3"/>
        </w:rPr>
        <w:t>补助</w:t>
      </w:r>
    </w:p>
    <w:p>
      <w:pPr>
        <w:pStyle w:val="BodyText"/>
        <w:spacing w:before="4"/>
        <w:ind w:left="737"/>
        <w:rPr>
          <w:rFonts w:ascii="PMingLiU" w:eastAsia="PMingLiU" w:hint="eastAsia"/>
        </w:rPr>
      </w:pPr>
      <w:r>
        <w:rPr>
          <w:rFonts w:ascii="PMingLiU" w:eastAsia="PMingLiU" w:hint="eastAsia"/>
          <w:color w:val="1C1B10"/>
        </w:rPr>
        <w:t>（四）完善农村寄递物流</w:t>
      </w:r>
    </w:p>
    <w:p>
      <w:pPr>
        <w:pStyle w:val="BodyText"/>
        <w:spacing w:line="350" w:lineRule="auto" w:before="152"/>
        <w:ind w:left="108" w:right="250" w:firstLine="628"/>
        <w:jc w:val="both"/>
      </w:pPr>
      <w:r>
        <w:rPr>
          <w:color w:val="1C1B10"/>
          <w:spacing w:val="-9"/>
        </w:rPr>
        <w:t>加快推进“快递进村”工程。引导寄递企业驻村设点，提升</w:t>
      </w:r>
      <w:r>
        <w:rPr>
          <w:color w:val="1C1B10"/>
          <w:spacing w:val="-8"/>
        </w:rPr>
        <w:t>快递服务水平，对列入邮政管理部门快递服务薄弱行政村目录的</w:t>
      </w:r>
      <w:r>
        <w:rPr>
          <w:color w:val="1C1B10"/>
          <w:spacing w:val="1"/>
        </w:rPr>
        <w:t>新增备案末端网点（</w:t>
      </w:r>
      <w:r>
        <w:rPr>
          <w:color w:val="1C1B10"/>
        </w:rPr>
        <w:t>智能快递柜站点或人工快递驿站</w:t>
      </w:r>
      <w:r>
        <w:rPr>
          <w:color w:val="1C1B10"/>
          <w:spacing w:val="-155"/>
        </w:rPr>
        <w:t>）</w:t>
      </w:r>
      <w:r>
        <w:rPr>
          <w:color w:val="1C1B10"/>
          <w:spacing w:val="-20"/>
        </w:rPr>
        <w:t>，实现 </w:t>
      </w:r>
      <w:r>
        <w:rPr>
          <w:color w:val="1C1B10"/>
        </w:rPr>
        <w:t>3</w:t>
      </w:r>
      <w:r>
        <w:rPr>
          <w:color w:val="1C1B10"/>
          <w:spacing w:val="3"/>
        </w:rPr>
        <w:t>个以上品牌快递服务覆盖且运营满一年的企业一次性给予补助</w:t>
      </w:r>
      <w:r>
        <w:rPr>
          <w:color w:val="1C1B10"/>
          <w:spacing w:val="-3"/>
        </w:rPr>
        <w:t>5000</w:t>
      </w:r>
      <w:r>
        <w:rPr>
          <w:color w:val="1C1B10"/>
          <w:spacing w:val="-15"/>
        </w:rPr>
        <w:t> 元。同一行政村内不重复补助</w:t>
      </w:r>
    </w:p>
    <w:p>
      <w:pPr>
        <w:pStyle w:val="BodyText"/>
        <w:spacing w:before="7"/>
        <w:ind w:left="737"/>
        <w:rPr>
          <w:rFonts w:ascii="PMingLiU" w:eastAsia="PMingLiU" w:hint="eastAsia"/>
        </w:rPr>
      </w:pPr>
      <w:r>
        <w:rPr>
          <w:rFonts w:ascii="PMingLiU" w:eastAsia="PMingLiU" w:hint="eastAsia"/>
          <w:color w:val="1C1B10"/>
        </w:rPr>
        <w:t>（五）促进快递业与制造业深度融合发展</w:t>
      </w:r>
    </w:p>
    <w:p>
      <w:pPr>
        <w:pStyle w:val="BodyText"/>
        <w:spacing w:line="350" w:lineRule="auto" w:before="153"/>
        <w:ind w:left="108" w:right="250" w:firstLine="628"/>
        <w:jc w:val="both"/>
      </w:pPr>
      <w:r>
        <w:rPr>
          <w:color w:val="1C1B10"/>
          <w:spacing w:val="-8"/>
        </w:rPr>
        <w:t>加快制造业供应链融合创新，鼓励快递企业与制造业建立长期稳定的战略合作关系，培育出仓配一体化、入厂物流、国际供</w:t>
      </w:r>
      <w:r>
        <w:rPr>
          <w:color w:val="1C1B10"/>
          <w:spacing w:val="-6"/>
        </w:rPr>
        <w:t>应链、海外协同等融合发展的成熟模式 年快递业务量（揽收</w:t>
      </w:r>
      <w:r>
        <w:rPr>
          <w:color w:val="1C1B10"/>
        </w:rPr>
        <w:t>） </w:t>
      </w:r>
      <w:r>
        <w:rPr>
          <w:color w:val="1C1B10"/>
          <w:spacing w:val="-12"/>
        </w:rPr>
        <w:t>同比增长超过行业上一统计周期年度平均增速的，每超过 </w:t>
      </w:r>
      <w:r>
        <w:rPr>
          <w:color w:val="1C1B10"/>
        </w:rPr>
        <w:t>1</w:t>
      </w:r>
      <w:r>
        <w:rPr>
          <w:color w:val="1C1B10"/>
          <w:spacing w:val="-31"/>
        </w:rPr>
        <w:t> 个百</w:t>
      </w:r>
      <w:r>
        <w:rPr>
          <w:color w:val="1C1B10"/>
          <w:spacing w:val="-21"/>
        </w:rPr>
        <w:t>分点，给予 </w:t>
      </w:r>
      <w:r>
        <w:rPr>
          <w:color w:val="1C1B10"/>
        </w:rPr>
        <w:t>1</w:t>
      </w:r>
      <w:r>
        <w:rPr>
          <w:color w:val="1C1B10"/>
          <w:spacing w:val="-21"/>
        </w:rPr>
        <w:t> 万元补助，每家企业不超过 </w:t>
      </w:r>
      <w:r>
        <w:rPr>
          <w:color w:val="1C1B10"/>
        </w:rPr>
        <w:t>20</w:t>
      </w:r>
      <w:r>
        <w:rPr>
          <w:color w:val="1C1B10"/>
          <w:spacing w:val="-25"/>
        </w:rPr>
        <w:t> 万元。</w:t>
      </w:r>
    </w:p>
    <w:p>
      <w:pPr>
        <w:pStyle w:val="BodyText"/>
        <w:spacing w:before="7"/>
        <w:ind w:left="737"/>
        <w:rPr>
          <w:rFonts w:ascii="PMingLiU" w:eastAsia="PMingLiU" w:hint="eastAsia"/>
        </w:rPr>
      </w:pPr>
      <w:r>
        <w:rPr>
          <w:rFonts w:ascii="PMingLiU" w:eastAsia="PMingLiU" w:hint="eastAsia"/>
          <w:color w:val="1C1B10"/>
        </w:rPr>
        <w:t>（六）支持物流企业争创品牌</w:t>
      </w:r>
    </w:p>
    <w:p>
      <w:pPr>
        <w:pStyle w:val="BodyText"/>
        <w:spacing w:line="350" w:lineRule="auto" w:before="152"/>
        <w:ind w:left="108" w:right="250" w:firstLine="628"/>
        <w:jc w:val="both"/>
      </w:pPr>
      <w:r>
        <w:rPr>
          <w:color w:val="1C1B10"/>
          <w:spacing w:val="-9"/>
        </w:rPr>
        <w:t>促进物流企业向专精特新方向发展，鼓励企业争创国家级、</w:t>
      </w:r>
      <w:r>
        <w:rPr>
          <w:color w:val="1C1B10"/>
          <w:spacing w:val="-8"/>
        </w:rPr>
        <w:t>省级示范物流园区，对新评为国家级、省级示范物流园区，在享</w:t>
      </w:r>
      <w:r>
        <w:rPr>
          <w:color w:val="1C1B10"/>
          <w:spacing w:val="-10"/>
        </w:rPr>
        <w:t>受省级奖励的同时，市本级分别给予 </w:t>
      </w:r>
      <w:r>
        <w:rPr>
          <w:color w:val="1C1B10"/>
        </w:rPr>
        <w:t>50</w:t>
      </w:r>
      <w:r>
        <w:rPr>
          <w:color w:val="1C1B10"/>
          <w:spacing w:val="-24"/>
        </w:rPr>
        <w:t> 万元、</w:t>
      </w:r>
      <w:r>
        <w:rPr>
          <w:color w:val="1C1B10"/>
        </w:rPr>
        <w:t>25</w:t>
      </w:r>
      <w:r>
        <w:rPr>
          <w:color w:val="1C1B10"/>
          <w:spacing w:val="-16"/>
        </w:rPr>
        <w:t> 万元的配套奖</w:t>
      </w:r>
      <w:r>
        <w:rPr>
          <w:color w:val="1C1B10"/>
          <w:spacing w:val="-1"/>
        </w:rPr>
        <w:t>励。支持物流企业参加国家</w:t>
      </w:r>
      <w:r>
        <w:rPr>
          <w:color w:val="1C1B10"/>
        </w:rPr>
        <w:t>A</w:t>
      </w:r>
      <w:r>
        <w:rPr>
          <w:color w:val="1C1B10"/>
          <w:spacing w:val="-15"/>
        </w:rPr>
        <w:t> 级物流企业、网络货运平台或星级</w:t>
      </w:r>
      <w:r>
        <w:rPr>
          <w:color w:val="1C1B10"/>
          <w:spacing w:val="-8"/>
        </w:rPr>
        <w:t>冷链物流企业、星级仓库或绿色仓库、星级冷链集配中心评估和</w:t>
      </w:r>
    </w:p>
    <w:p>
      <w:pPr>
        <w:pStyle w:val="BodyText"/>
        <w:spacing w:before="10"/>
        <w:rPr>
          <w:sz w:val="12"/>
        </w:rPr>
      </w:pPr>
    </w:p>
    <w:p>
      <w:pPr>
        <w:spacing w:before="63"/>
        <w:ind w:left="0" w:right="451" w:firstLine="0"/>
        <w:jc w:val="right"/>
        <w:rPr>
          <w:rFonts w:ascii="新宋体" w:hAnsi="新宋体"/>
          <w:sz w:val="28"/>
        </w:rPr>
      </w:pPr>
      <w:r>
        <w:rPr>
          <w:rFonts w:ascii="新宋体" w:hAnsi="新宋体"/>
          <w:sz w:val="28"/>
        </w:rPr>
        <w:t>— 3 —</w:t>
      </w:r>
    </w:p>
    <w:p>
      <w:pPr>
        <w:spacing w:after="0"/>
        <w:jc w:val="right"/>
        <w:rPr>
          <w:rFonts w:ascii="新宋体" w:hAnsi="新宋体"/>
          <w:sz w:val="28"/>
        </w:rPr>
        <w:sectPr>
          <w:pgSz w:w="11910" w:h="16840"/>
          <w:pgMar w:header="0" w:footer="349" w:top="1580" w:bottom="540" w:left="1480" w:right="1260"/>
        </w:sect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spacing w:before="2"/>
        <w:rPr>
          <w:rFonts w:ascii="新宋体"/>
          <w:sz w:val="27"/>
        </w:rPr>
      </w:pPr>
    </w:p>
    <w:p>
      <w:pPr>
        <w:pStyle w:val="BodyText"/>
        <w:spacing w:line="350" w:lineRule="auto" w:before="56"/>
        <w:ind w:left="108" w:right="252"/>
        <w:jc w:val="both"/>
      </w:pPr>
      <w:r>
        <w:rPr>
          <w:color w:val="1C1B10"/>
          <w:spacing w:val="4"/>
        </w:rPr>
        <w:t>认定，对新评为</w:t>
      </w:r>
      <w:r>
        <w:rPr>
          <w:color w:val="1C1B10"/>
          <w:spacing w:val="-3"/>
        </w:rPr>
        <w:t>AAA</w:t>
      </w:r>
      <w:r>
        <w:rPr>
          <w:color w:val="1C1B10"/>
          <w:spacing w:val="-15"/>
        </w:rPr>
        <w:t> 物流企业、网络货运平台、三星级冷链物流</w:t>
      </w:r>
      <w:r>
        <w:rPr>
          <w:color w:val="1C1B10"/>
          <w:spacing w:val="-6"/>
        </w:rPr>
        <w:t>企业（</w:t>
      </w:r>
      <w:r>
        <w:rPr>
          <w:color w:val="1C1B10"/>
          <w:spacing w:val="-8"/>
        </w:rPr>
        <w:t>仓库、冷链集配中心</w:t>
      </w:r>
      <w:r>
        <w:rPr>
          <w:color w:val="1C1B10"/>
          <w:spacing w:val="-164"/>
        </w:rPr>
        <w:t>）</w:t>
      </w:r>
      <w:r>
        <w:rPr>
          <w:color w:val="1C1B10"/>
          <w:spacing w:val="-15"/>
        </w:rPr>
        <w:t>、三级绿色仓库的给予 </w:t>
      </w:r>
      <w:r>
        <w:rPr>
          <w:color w:val="1C1B10"/>
        </w:rPr>
        <w:t>10</w:t>
      </w:r>
      <w:r>
        <w:rPr>
          <w:color w:val="1C1B10"/>
          <w:spacing w:val="-22"/>
        </w:rPr>
        <w:t> 万元一次</w:t>
      </w:r>
      <w:r>
        <w:rPr>
          <w:color w:val="1C1B10"/>
          <w:spacing w:val="-23"/>
        </w:rPr>
        <w:t>性奖励，对新评为 </w:t>
      </w:r>
      <w:r>
        <w:rPr>
          <w:color w:val="1C1B10"/>
          <w:spacing w:val="-3"/>
        </w:rPr>
        <w:t>AAAA</w:t>
      </w:r>
      <w:r>
        <w:rPr>
          <w:color w:val="1C1B10"/>
          <w:spacing w:val="-20"/>
        </w:rPr>
        <w:t> 物流企业、网络货运平台、四星级冷链物</w:t>
      </w:r>
      <w:r>
        <w:rPr>
          <w:color w:val="1C1B10"/>
          <w:spacing w:val="-6"/>
        </w:rPr>
        <w:t>流企业（</w:t>
      </w:r>
      <w:r>
        <w:rPr>
          <w:color w:val="1C1B10"/>
          <w:spacing w:val="-8"/>
        </w:rPr>
        <w:t>仓库、冷链集配中心</w:t>
      </w:r>
      <w:r>
        <w:rPr>
          <w:color w:val="1C1B10"/>
          <w:spacing w:val="-164"/>
        </w:rPr>
        <w:t>）</w:t>
      </w:r>
      <w:r>
        <w:rPr>
          <w:color w:val="1C1B10"/>
          <w:spacing w:val="-15"/>
        </w:rPr>
        <w:t>、二级绿色仓库的给予 </w:t>
      </w:r>
      <w:r>
        <w:rPr>
          <w:color w:val="1C1B10"/>
        </w:rPr>
        <w:t>30</w:t>
      </w:r>
      <w:r>
        <w:rPr>
          <w:color w:val="1C1B10"/>
          <w:spacing w:val="-26"/>
        </w:rPr>
        <w:t> 万元一</w:t>
      </w:r>
      <w:r>
        <w:rPr>
          <w:color w:val="1C1B10"/>
          <w:spacing w:val="1"/>
        </w:rPr>
        <w:t>次性奖励，对新评为</w:t>
      </w:r>
      <w:r>
        <w:rPr>
          <w:color w:val="1C1B10"/>
          <w:spacing w:val="-3"/>
        </w:rPr>
        <w:t>AAAAA</w:t>
      </w:r>
      <w:r>
        <w:rPr>
          <w:color w:val="1C1B10"/>
          <w:spacing w:val="-15"/>
        </w:rPr>
        <w:t> 物流企业、网络货运平台、五星级冷</w:t>
      </w:r>
      <w:r>
        <w:rPr>
          <w:color w:val="1C1B10"/>
          <w:spacing w:val="-7"/>
        </w:rPr>
        <w:t>链物流企业</w:t>
      </w:r>
      <w:r>
        <w:rPr>
          <w:color w:val="1C1B10"/>
          <w:spacing w:val="-6"/>
        </w:rPr>
        <w:t>（</w:t>
      </w:r>
      <w:r>
        <w:rPr>
          <w:color w:val="1C1B10"/>
          <w:spacing w:val="-8"/>
        </w:rPr>
        <w:t>仓库、冷链集配中心</w:t>
      </w:r>
      <w:r>
        <w:rPr>
          <w:color w:val="1C1B10"/>
          <w:spacing w:val="-164"/>
        </w:rPr>
        <w:t>）</w:t>
      </w:r>
      <w:r>
        <w:rPr>
          <w:color w:val="1C1B10"/>
          <w:spacing w:val="-15"/>
        </w:rPr>
        <w:t>、一级绿色仓库的给予 </w:t>
      </w:r>
      <w:r>
        <w:rPr>
          <w:color w:val="1C1B10"/>
        </w:rPr>
        <w:t>50</w:t>
      </w:r>
      <w:r>
        <w:rPr>
          <w:color w:val="1C1B10"/>
          <w:spacing w:val="-44"/>
        </w:rPr>
        <w:t> 万</w:t>
      </w:r>
      <w:r>
        <w:rPr>
          <w:color w:val="1C1B10"/>
          <w:spacing w:val="-8"/>
        </w:rPr>
        <w:t>元一次性奖励。升级予以补差奖励</w:t>
      </w:r>
    </w:p>
    <w:p>
      <w:pPr>
        <w:pStyle w:val="BodyText"/>
        <w:spacing w:before="9"/>
        <w:ind w:left="737"/>
        <w:rPr>
          <w:rFonts w:ascii="PMingLiU" w:eastAsia="PMingLiU" w:hint="eastAsia"/>
        </w:rPr>
      </w:pPr>
      <w:r>
        <w:rPr>
          <w:rFonts w:ascii="PMingLiU" w:eastAsia="PMingLiU" w:hint="eastAsia"/>
          <w:color w:val="1C1B10"/>
        </w:rPr>
        <w:t>（七）支持冷链云仓发展</w:t>
      </w:r>
    </w:p>
    <w:p>
      <w:pPr>
        <w:pStyle w:val="BodyText"/>
        <w:spacing w:line="350" w:lineRule="auto" w:before="153"/>
        <w:ind w:left="108" w:right="255" w:firstLine="628"/>
        <w:jc w:val="both"/>
      </w:pPr>
      <w:r>
        <w:rPr>
          <w:color w:val="1C1B10"/>
          <w:spacing w:val="-8"/>
        </w:rPr>
        <w:t>推动专业冷链电商服务，支持企业开展冷链云仓运营，整合生鲜电商企业，充分发挥“云仓集单、数据互通、一件代发”服</w:t>
      </w:r>
      <w:r>
        <w:rPr>
          <w:color w:val="1C1B10"/>
          <w:spacing w:val="-21"/>
        </w:rPr>
        <w:t>务功能，大幅降低冷链快递成本，按照 </w:t>
      </w:r>
      <w:r>
        <w:rPr>
          <w:color w:val="1C1B10"/>
          <w:spacing w:val="-3"/>
        </w:rPr>
        <w:t>0.1</w:t>
      </w:r>
      <w:r>
        <w:rPr>
          <w:color w:val="1C1B10"/>
          <w:spacing w:val="-45"/>
        </w:rPr>
        <w:t> 元</w:t>
      </w:r>
      <w:r>
        <w:rPr>
          <w:color w:val="1C1B10"/>
          <w:spacing w:val="-4"/>
        </w:rPr>
        <w:t>/</w:t>
      </w:r>
      <w:r>
        <w:rPr>
          <w:color w:val="1C1B10"/>
          <w:spacing w:val="-14"/>
        </w:rPr>
        <w:t>件予以补助，每家</w:t>
      </w:r>
      <w:r>
        <w:rPr>
          <w:color w:val="1C1B10"/>
          <w:spacing w:val="-21"/>
        </w:rPr>
        <w:t>企业不超过 </w:t>
      </w:r>
      <w:r>
        <w:rPr>
          <w:color w:val="1C1B10"/>
        </w:rPr>
        <w:t>20</w:t>
      </w:r>
      <w:r>
        <w:rPr>
          <w:color w:val="1C1B10"/>
          <w:spacing w:val="-24"/>
        </w:rPr>
        <w:t> 万元。</w:t>
      </w:r>
    </w:p>
    <w:p>
      <w:pPr>
        <w:pStyle w:val="BodyText"/>
        <w:spacing w:before="5"/>
        <w:ind w:left="737"/>
        <w:rPr>
          <w:rFonts w:ascii="PMingLiU" w:eastAsia="PMingLiU" w:hint="eastAsia"/>
        </w:rPr>
      </w:pPr>
      <w:r>
        <w:rPr>
          <w:rFonts w:ascii="PMingLiU" w:eastAsia="PMingLiU" w:hint="eastAsia"/>
          <w:color w:val="1C1B10"/>
        </w:rPr>
        <w:t>（八）支持冷库建设改造</w:t>
      </w:r>
    </w:p>
    <w:p>
      <w:pPr>
        <w:pStyle w:val="BodyText"/>
        <w:spacing w:line="350" w:lineRule="auto" w:before="153"/>
        <w:ind w:left="108" w:right="250" w:firstLine="628"/>
        <w:jc w:val="both"/>
      </w:pPr>
      <w:r>
        <w:rPr>
          <w:color w:val="1C1B10"/>
          <w:spacing w:val="-8"/>
        </w:rPr>
        <w:t>增加优质冷链设施供给，企业新建、改造信息化、智能化和自动化的冷库项目，完善封闭式装卸站台、电动滑升式冷藏门和</w:t>
      </w:r>
      <w:r>
        <w:rPr>
          <w:color w:val="1C1B10"/>
          <w:spacing w:val="-9"/>
        </w:rPr>
        <w:t>防撞柔性密封口等设施并实现全封闭式作业，按照不超过企业年</w:t>
      </w:r>
      <w:r>
        <w:rPr>
          <w:color w:val="1C1B10"/>
          <w:spacing w:val="-20"/>
        </w:rPr>
        <w:t>度投资额的 </w:t>
      </w:r>
      <w:r>
        <w:rPr>
          <w:color w:val="1C1B10"/>
          <w:spacing w:val="-4"/>
        </w:rPr>
        <w:t>10</w:t>
      </w:r>
      <w:r>
        <w:rPr>
          <w:color w:val="1C1B10"/>
          <w:spacing w:val="-14"/>
        </w:rPr>
        <w:t>%，给予每家企业不超过 </w:t>
      </w:r>
      <w:r>
        <w:rPr>
          <w:color w:val="1C1B10"/>
          <w:spacing w:val="-3"/>
        </w:rPr>
        <w:t>100</w:t>
      </w:r>
      <w:r>
        <w:rPr>
          <w:color w:val="1C1B10"/>
          <w:spacing w:val="-22"/>
        </w:rPr>
        <w:t> 万元补助</w:t>
      </w:r>
    </w:p>
    <w:p>
      <w:pPr>
        <w:pStyle w:val="BodyText"/>
        <w:spacing w:before="5"/>
        <w:ind w:left="737"/>
        <w:rPr>
          <w:rFonts w:ascii="PMingLiU" w:eastAsia="PMingLiU" w:hint="eastAsia"/>
        </w:rPr>
      </w:pPr>
      <w:r>
        <w:rPr>
          <w:rFonts w:ascii="PMingLiU" w:eastAsia="PMingLiU" w:hint="eastAsia"/>
          <w:color w:val="1C1B10"/>
        </w:rPr>
        <w:t>（九）支持购置冷链车辆</w:t>
      </w:r>
    </w:p>
    <w:p>
      <w:pPr>
        <w:pStyle w:val="BodyText"/>
        <w:spacing w:line="350" w:lineRule="auto" w:before="153"/>
        <w:ind w:left="108" w:right="250" w:firstLine="628"/>
        <w:jc w:val="both"/>
      </w:pPr>
      <w:r>
        <w:rPr>
          <w:color w:val="1C1B10"/>
          <w:spacing w:val="-23"/>
        </w:rPr>
        <w:t>支持冷链物流规范化专业化，企业新购外廓为 </w:t>
      </w:r>
      <w:r>
        <w:rPr>
          <w:color w:val="1C1B10"/>
          <w:spacing w:val="-3"/>
        </w:rPr>
        <w:t>2600mm</w:t>
      </w:r>
      <w:r>
        <w:rPr>
          <w:color w:val="1C1B10"/>
          <w:spacing w:val="-25"/>
        </w:rPr>
        <w:t> 标准冷</w:t>
      </w:r>
      <w:r>
        <w:rPr>
          <w:color w:val="1C1B10"/>
          <w:spacing w:val="-8"/>
        </w:rPr>
        <w:t>链运输车辆，安装冷链车辆测温系统、连续温度记录仪等全程温</w:t>
      </w:r>
      <w:r>
        <w:rPr>
          <w:color w:val="1C1B10"/>
          <w:spacing w:val="-9"/>
        </w:rPr>
        <w:t>度监测，实现冷链车辆标准化作业，按照不超过企业年度投资额</w:t>
      </w:r>
    </w:p>
    <w:p>
      <w:pPr>
        <w:pStyle w:val="BodyText"/>
        <w:spacing w:before="7"/>
        <w:rPr>
          <w:sz w:val="12"/>
        </w:rPr>
      </w:pPr>
    </w:p>
    <w:p>
      <w:pPr>
        <w:spacing w:before="63"/>
        <w:ind w:left="415" w:right="0" w:firstLine="0"/>
        <w:jc w:val="left"/>
        <w:rPr>
          <w:rFonts w:ascii="新宋体" w:hAnsi="新宋体"/>
          <w:sz w:val="28"/>
        </w:rPr>
      </w:pPr>
      <w:r>
        <w:rPr>
          <w:rFonts w:ascii="新宋体" w:hAnsi="新宋体"/>
          <w:sz w:val="28"/>
        </w:rPr>
        <w:t>— 4 —</w:t>
      </w:r>
    </w:p>
    <w:p>
      <w:pPr>
        <w:spacing w:after="0"/>
        <w:jc w:val="left"/>
        <w:rPr>
          <w:rFonts w:ascii="新宋体" w:hAnsi="新宋体"/>
          <w:sz w:val="28"/>
        </w:rPr>
        <w:sectPr>
          <w:pgSz w:w="11910" w:h="16840"/>
          <w:pgMar w:header="0" w:footer="349" w:top="1580" w:bottom="540" w:left="1480" w:right="1260"/>
        </w:sect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spacing w:before="2"/>
        <w:rPr>
          <w:rFonts w:ascii="新宋体"/>
          <w:sz w:val="27"/>
        </w:rPr>
      </w:pPr>
    </w:p>
    <w:p>
      <w:pPr>
        <w:pStyle w:val="BodyText"/>
        <w:spacing w:before="56"/>
        <w:ind w:left="108"/>
      </w:pPr>
      <w:r>
        <w:rPr>
          <w:color w:val="1C1B10"/>
        </w:rPr>
        <w:t>的 20%，给予每家企业不超过 100 万元补助</w:t>
      </w:r>
    </w:p>
    <w:p>
      <w:pPr>
        <w:pStyle w:val="BodyText"/>
        <w:spacing w:before="190"/>
        <w:ind w:left="737"/>
        <w:rPr>
          <w:rFonts w:ascii="黑体" w:eastAsia="黑体" w:hint="eastAsia"/>
        </w:rPr>
      </w:pPr>
      <w:r>
        <w:rPr>
          <w:rFonts w:ascii="黑体" w:eastAsia="黑体" w:hint="eastAsia"/>
          <w:color w:val="1C1B10"/>
        </w:rPr>
        <w:t>二、相关要求</w:t>
      </w:r>
    </w:p>
    <w:p>
      <w:pPr>
        <w:pStyle w:val="BodyText"/>
        <w:spacing w:line="345" w:lineRule="auto" w:before="190"/>
        <w:ind w:left="108" w:right="250" w:firstLine="628"/>
        <w:jc w:val="both"/>
      </w:pPr>
      <w:r>
        <w:rPr>
          <w:rFonts w:ascii="PMingLiU" w:eastAsia="PMingLiU" w:hint="eastAsia"/>
          <w:color w:val="1C1B10"/>
          <w:spacing w:val="-6"/>
        </w:rPr>
        <w:t>（一</w:t>
      </w:r>
      <w:r>
        <w:rPr>
          <w:rFonts w:ascii="PMingLiU" w:eastAsia="PMingLiU" w:hint="eastAsia"/>
          <w:color w:val="1C1B10"/>
          <w:spacing w:val="-8"/>
        </w:rPr>
        <w:t>）财政资金。</w:t>
      </w:r>
      <w:r>
        <w:rPr>
          <w:color w:val="1C1B10"/>
          <w:spacing w:val="-8"/>
        </w:rPr>
        <w:t>以上措施所需补助资金，按照现行的财政</w:t>
      </w:r>
      <w:r>
        <w:rPr>
          <w:color w:val="1C1B10"/>
          <w:spacing w:val="-10"/>
        </w:rPr>
        <w:t>体制,五城区</w:t>
      </w:r>
      <w:r>
        <w:rPr>
          <w:color w:val="1C1B10"/>
          <w:spacing w:val="-8"/>
        </w:rPr>
        <w:t>（</w:t>
      </w:r>
      <w:r>
        <w:rPr>
          <w:color w:val="1C1B10"/>
          <w:spacing w:val="-18"/>
        </w:rPr>
        <w:t>鼓楼、台江、仓山、晋安、马尾，下同</w:t>
      </w:r>
      <w:r>
        <w:rPr>
          <w:color w:val="1C1B10"/>
          <w:spacing w:val="-30"/>
        </w:rPr>
        <w:t>）</w:t>
      </w:r>
      <w:r>
        <w:rPr>
          <w:color w:val="1C1B10"/>
          <w:spacing w:val="-5"/>
        </w:rPr>
        <w:t>由市本级</w:t>
      </w:r>
      <w:r>
        <w:rPr>
          <w:color w:val="1C1B10"/>
          <w:spacing w:val="-12"/>
        </w:rPr>
        <w:t>财政与区级财政各承担 </w:t>
      </w:r>
      <w:r>
        <w:rPr>
          <w:color w:val="1C1B10"/>
          <w:spacing w:val="-3"/>
        </w:rPr>
        <w:t>50</w:t>
      </w:r>
      <w:r>
        <w:rPr>
          <w:color w:val="1C1B10"/>
          <w:spacing w:val="-4"/>
        </w:rPr>
        <w:t>%，其他县（市）</w:t>
      </w:r>
      <w:r>
        <w:rPr>
          <w:color w:val="1C1B10"/>
          <w:spacing w:val="-3"/>
        </w:rPr>
        <w:t>区由县</w:t>
      </w:r>
      <w:r>
        <w:rPr>
          <w:color w:val="1C1B10"/>
          <w:spacing w:val="-4"/>
        </w:rPr>
        <w:t>（市）</w:t>
      </w:r>
      <w:r>
        <w:rPr>
          <w:color w:val="1C1B10"/>
          <w:spacing w:val="-3"/>
        </w:rPr>
        <w:t>区财政</w:t>
      </w:r>
      <w:r>
        <w:rPr>
          <w:color w:val="1C1B10"/>
          <w:spacing w:val="-7"/>
        </w:rPr>
        <w:t>自行承担 市级财政每年安排专项资金予以支持，五城区财政进</w:t>
      </w:r>
      <w:r>
        <w:rPr>
          <w:color w:val="1C1B10"/>
          <w:spacing w:val="-8"/>
        </w:rPr>
        <w:t>行相应配套资金支持，每年申请补助资金超过限额部分，在限额</w:t>
      </w:r>
      <w:r>
        <w:rPr>
          <w:color w:val="1C1B10"/>
          <w:spacing w:val="-6"/>
        </w:rPr>
        <w:t>内按比例发放</w:t>
      </w:r>
    </w:p>
    <w:p>
      <w:pPr>
        <w:pStyle w:val="BodyText"/>
        <w:spacing w:line="340" w:lineRule="auto" w:before="3"/>
        <w:ind w:left="108" w:right="99" w:firstLine="628"/>
      </w:pPr>
      <w:r>
        <w:rPr>
          <w:rFonts w:ascii="PMingLiU" w:eastAsia="PMingLiU" w:hint="eastAsia"/>
          <w:color w:val="1C1B10"/>
          <w:spacing w:val="-6"/>
        </w:rPr>
        <w:t>（二</w:t>
      </w:r>
      <w:r>
        <w:rPr>
          <w:rFonts w:ascii="PMingLiU" w:eastAsia="PMingLiU" w:hint="eastAsia"/>
          <w:color w:val="1C1B10"/>
          <w:spacing w:val="-8"/>
        </w:rPr>
        <w:t>）实施保障。</w:t>
      </w:r>
      <w:r>
        <w:rPr>
          <w:color w:val="1C1B10"/>
          <w:spacing w:val="-8"/>
        </w:rPr>
        <w:t>市商务局负责牵头组织实施，强化协调指</w:t>
      </w:r>
      <w:r>
        <w:rPr>
          <w:color w:val="1C1B10"/>
          <w:spacing w:val="-9"/>
        </w:rPr>
        <w:t>导和督促检查，抓好全市商贸物流业发展工作，每年度发布申报</w:t>
      </w:r>
      <w:r>
        <w:rPr>
          <w:color w:val="1C1B10"/>
          <w:spacing w:val="-20"/>
        </w:rPr>
        <w:t>通知。各县</w:t>
      </w:r>
      <w:r>
        <w:rPr>
          <w:color w:val="1C1B10"/>
          <w:spacing w:val="-8"/>
        </w:rPr>
        <w:t>（</w:t>
      </w:r>
      <w:r>
        <w:rPr>
          <w:color w:val="1C1B10"/>
          <w:spacing w:val="-6"/>
        </w:rPr>
        <w:t>市</w:t>
      </w:r>
      <w:r>
        <w:rPr>
          <w:color w:val="1C1B10"/>
          <w:spacing w:val="-37"/>
        </w:rPr>
        <w:t>）</w:t>
      </w:r>
      <w:r>
        <w:rPr>
          <w:color w:val="1C1B10"/>
          <w:spacing w:val="-13"/>
        </w:rPr>
        <w:t>区有关部门要高度重视，各司其职，密切配合， </w:t>
      </w:r>
      <w:r>
        <w:rPr>
          <w:color w:val="1C1B10"/>
          <w:spacing w:val="-9"/>
        </w:rPr>
        <w:t>抓好落实，共同推动我市商贸物流业健康快速发展</w:t>
      </w:r>
    </w:p>
    <w:p>
      <w:pPr>
        <w:pStyle w:val="BodyText"/>
        <w:spacing w:line="343" w:lineRule="auto" w:before="18"/>
        <w:ind w:left="108" w:right="250" w:firstLine="628"/>
        <w:jc w:val="both"/>
      </w:pPr>
      <w:r>
        <w:rPr>
          <w:rFonts w:ascii="PMingLiU" w:hAnsi="PMingLiU" w:eastAsia="PMingLiU" w:hint="eastAsia"/>
          <w:color w:val="1C1B10"/>
          <w:spacing w:val="-6"/>
        </w:rPr>
        <w:t>（三</w:t>
      </w:r>
      <w:r>
        <w:rPr>
          <w:rFonts w:ascii="PMingLiU" w:hAnsi="PMingLiU" w:eastAsia="PMingLiU" w:hint="eastAsia"/>
          <w:color w:val="1C1B10"/>
          <w:spacing w:val="-18"/>
        </w:rPr>
        <w:t>）</w:t>
      </w:r>
      <w:r>
        <w:rPr>
          <w:rFonts w:ascii="PMingLiU" w:hAnsi="PMingLiU" w:eastAsia="PMingLiU" w:hint="eastAsia"/>
          <w:color w:val="1C1B10"/>
          <w:spacing w:val="-9"/>
        </w:rPr>
        <w:t>其他要求。</w:t>
      </w:r>
      <w:r>
        <w:rPr>
          <w:color w:val="1C1B10"/>
          <w:spacing w:val="-8"/>
        </w:rPr>
        <w:t>本措施中的“以上”“不超过”“达到” 均含本数。同时符合多条资金支持的项目按照就高原则扶持；除国家级、省级示范物流园区政策外，原则上获得国家及省级资金</w:t>
      </w:r>
      <w:r>
        <w:rPr>
          <w:color w:val="1C1B10"/>
          <w:spacing w:val="-1"/>
        </w:rPr>
        <w:t>支持的项目，不重复扶持 同一年度内 关联企业申报的仅认定</w:t>
      </w:r>
      <w:r>
        <w:rPr>
          <w:color w:val="1C1B10"/>
          <w:spacing w:val="-9"/>
        </w:rPr>
        <w:t>一家申报企业，其余不予补助。由市商务局负责具体解释工作</w:t>
      </w:r>
    </w:p>
    <w:p>
      <w:pPr>
        <w:pStyle w:val="BodyText"/>
        <w:spacing w:line="350" w:lineRule="auto" w:before="15"/>
        <w:ind w:left="108" w:right="102" w:firstLine="628"/>
      </w:pPr>
      <w:r>
        <w:rPr>
          <w:color w:val="1C1B10"/>
          <w:spacing w:val="-13"/>
        </w:rPr>
        <w:t>以上措施自印发之日起施行，有效期至 </w:t>
      </w:r>
      <w:r>
        <w:rPr>
          <w:color w:val="1C1B10"/>
          <w:spacing w:val="-3"/>
        </w:rPr>
        <w:t>2027</w:t>
      </w:r>
      <w:r>
        <w:rPr>
          <w:color w:val="1C1B10"/>
          <w:spacing w:val="-59"/>
        </w:rPr>
        <w:t> 年 </w:t>
      </w:r>
      <w:r>
        <w:rPr>
          <w:color w:val="1C1B10"/>
        </w:rPr>
        <w:t>12</w:t>
      </w:r>
      <w:r>
        <w:rPr>
          <w:color w:val="1C1B10"/>
          <w:spacing w:val="-58"/>
        </w:rPr>
        <w:t> 月 </w:t>
      </w:r>
      <w:r>
        <w:rPr>
          <w:color w:val="1C1B10"/>
        </w:rPr>
        <w:t>31</w:t>
      </w:r>
      <w:r>
        <w:rPr>
          <w:color w:val="1C1B10"/>
          <w:spacing w:val="-32"/>
        </w:rPr>
        <w:t> 日， </w:t>
      </w:r>
      <w:r>
        <w:rPr>
          <w:color w:val="1C1B10"/>
          <w:spacing w:val="-3"/>
        </w:rPr>
        <w:t>2024</w:t>
      </w:r>
      <w:r>
        <w:rPr>
          <w:color w:val="1C1B10"/>
          <w:spacing w:val="-52"/>
        </w:rPr>
        <w:t> 年 </w:t>
      </w:r>
      <w:r>
        <w:rPr>
          <w:color w:val="1C1B10"/>
        </w:rPr>
        <w:t>7</w:t>
      </w:r>
      <w:r>
        <w:rPr>
          <w:color w:val="1C1B10"/>
          <w:spacing w:val="-52"/>
        </w:rPr>
        <w:t> 月 </w:t>
      </w:r>
      <w:r>
        <w:rPr>
          <w:color w:val="1C1B10"/>
        </w:rPr>
        <w:t>1</w:t>
      </w:r>
      <w:r>
        <w:rPr>
          <w:color w:val="1C1B10"/>
          <w:spacing w:val="-6"/>
        </w:rPr>
        <w:t> 日至措施印发前符合条件的项目可参照本措施执</w:t>
      </w:r>
      <w:r>
        <w:rPr>
          <w:color w:val="1C1B10"/>
          <w:spacing w:val="-14"/>
        </w:rPr>
        <w:t>行。《福州市人民政府办公厅关于调整促进现代物流业加快发展</w:t>
      </w:r>
      <w:r>
        <w:rPr>
          <w:color w:val="1C1B10"/>
          <w:spacing w:val="-34"/>
        </w:rPr>
        <w:t>措施的通知》</w:t>
      </w:r>
      <w:r>
        <w:rPr>
          <w:color w:val="1C1B10"/>
          <w:spacing w:val="-6"/>
        </w:rPr>
        <w:t>（</w:t>
      </w:r>
      <w:r>
        <w:rPr>
          <w:color w:val="1C1B10"/>
          <w:spacing w:val="-7"/>
        </w:rPr>
        <w:t>榕政办〔</w:t>
      </w:r>
      <w:r>
        <w:rPr>
          <w:color w:val="1C1B10"/>
          <w:spacing w:val="-3"/>
        </w:rPr>
        <w:t>2022</w:t>
      </w:r>
      <w:r>
        <w:rPr>
          <w:color w:val="1C1B10"/>
          <w:spacing w:val="-6"/>
        </w:rPr>
        <w:t>〕</w:t>
      </w:r>
      <w:r>
        <w:rPr>
          <w:color w:val="1C1B10"/>
        </w:rPr>
        <w:t>67</w:t>
      </w:r>
      <w:r>
        <w:rPr>
          <w:color w:val="1C1B10"/>
          <w:spacing w:val="-46"/>
        </w:rPr>
        <w:t> 号</w:t>
      </w:r>
      <w:r>
        <w:rPr>
          <w:color w:val="1C1B10"/>
          <w:spacing w:val="-6"/>
        </w:rPr>
        <w:t>）同时废止</w:t>
      </w:r>
    </w:p>
    <w:p>
      <w:pPr>
        <w:pStyle w:val="BodyText"/>
        <w:spacing w:before="8"/>
        <w:rPr>
          <w:sz w:val="12"/>
        </w:rPr>
      </w:pPr>
    </w:p>
    <w:p>
      <w:pPr>
        <w:spacing w:before="64"/>
        <w:ind w:left="0" w:right="451" w:firstLine="0"/>
        <w:jc w:val="right"/>
        <w:rPr>
          <w:rFonts w:ascii="新宋体" w:hAnsi="新宋体"/>
          <w:sz w:val="28"/>
        </w:rPr>
      </w:pPr>
      <w:r>
        <w:rPr>
          <w:rFonts w:ascii="新宋体" w:hAnsi="新宋体"/>
          <w:sz w:val="28"/>
        </w:rPr>
        <w:t>— 5 —</w:t>
      </w:r>
    </w:p>
    <w:p>
      <w:pPr>
        <w:spacing w:after="0"/>
        <w:jc w:val="right"/>
        <w:rPr>
          <w:rFonts w:ascii="新宋体" w:hAnsi="新宋体"/>
          <w:sz w:val="28"/>
        </w:rPr>
        <w:sectPr>
          <w:pgSz w:w="11910" w:h="16840"/>
          <w:pgMar w:header="0" w:footer="349" w:top="1580" w:bottom="540" w:left="1480" w:right="1260"/>
        </w:sect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spacing w:before="2"/>
        <w:rPr>
          <w:rFonts w:ascii="新宋体"/>
          <w:sz w:val="16"/>
        </w:rPr>
      </w:pPr>
    </w:p>
    <w:p>
      <w:pPr>
        <w:pStyle w:val="BodyText"/>
        <w:spacing w:line="20" w:lineRule="exact"/>
        <w:ind w:left="23"/>
        <w:rPr>
          <w:rFonts w:ascii="新宋体"/>
          <w:sz w:val="2"/>
        </w:rPr>
      </w:pPr>
      <w:r>
        <w:rPr>
          <w:rFonts w:ascii="新宋体"/>
          <w:sz w:val="2"/>
        </w:rPr>
        <w:pict>
          <v:group style="width:442.2pt;height:.5pt;mso-position-horizontal-relative:char;mso-position-vertical-relative:line" coordorigin="0,0" coordsize="8844,10">
            <v:line style="position:absolute" from="0,5" to="8844,5" stroked="true" strokeweight=".479898pt" strokecolor="#000000">
              <v:stroke dashstyle="solid"/>
            </v:line>
          </v:group>
        </w:pict>
      </w:r>
      <w:r>
        <w:rPr>
          <w:rFonts w:ascii="新宋体"/>
          <w:sz w:val="2"/>
        </w:rPr>
      </w:r>
    </w:p>
    <w:p>
      <w:pPr>
        <w:tabs>
          <w:tab w:pos="6120" w:val="left" w:leader="none"/>
        </w:tabs>
        <w:spacing w:before="105"/>
        <w:ind w:left="451" w:right="0" w:firstLine="0"/>
        <w:jc w:val="left"/>
        <w:rPr>
          <w:sz w:val="28"/>
        </w:rPr>
      </w:pPr>
      <w:r>
        <w:rPr/>
        <w:pict>
          <v:line style="position:absolute;mso-position-horizontal-relative:page;mso-position-vertical-relative:paragraph;z-index:-251654144;mso-wrap-distance-left:0;mso-wrap-distance-right:0" from="75.44883pt,29.230629pt" to="517.641606pt,29.230629pt" stroked="true" strokeweight=".479898pt" strokecolor="#000000">
            <v:stroke dashstyle="solid"/>
            <w10:wrap type="topAndBottom"/>
          </v:line>
        </w:pict>
      </w:r>
      <w:r>
        <w:rPr>
          <w:spacing w:val="-7"/>
          <w:sz w:val="28"/>
        </w:rPr>
        <w:t>福州</w:t>
      </w:r>
      <w:r>
        <w:rPr>
          <w:spacing w:val="-4"/>
          <w:sz w:val="28"/>
        </w:rPr>
        <w:t>市</w:t>
      </w:r>
      <w:r>
        <w:rPr>
          <w:spacing w:val="-7"/>
          <w:sz w:val="28"/>
        </w:rPr>
        <w:t>人民政府办</w:t>
      </w:r>
      <w:r>
        <w:rPr>
          <w:spacing w:val="-4"/>
          <w:sz w:val="28"/>
        </w:rPr>
        <w:t>公</w:t>
      </w:r>
      <w:r>
        <w:rPr>
          <w:sz w:val="28"/>
        </w:rPr>
        <w:t>厅</w:t>
        <w:tab/>
      </w:r>
      <w:r>
        <w:rPr>
          <w:spacing w:val="-4"/>
          <w:sz w:val="28"/>
        </w:rPr>
        <w:t>2025</w:t>
      </w:r>
      <w:r>
        <w:rPr>
          <w:spacing w:val="-7"/>
          <w:sz w:val="28"/>
        </w:rPr>
        <w:t>年</w:t>
      </w:r>
      <w:r>
        <w:rPr>
          <w:spacing w:val="-4"/>
          <w:sz w:val="28"/>
        </w:rPr>
        <w:t>5</w:t>
      </w:r>
      <w:r>
        <w:rPr>
          <w:spacing w:val="-7"/>
          <w:sz w:val="28"/>
        </w:rPr>
        <w:t>月</w:t>
      </w:r>
      <w:r>
        <w:rPr>
          <w:spacing w:val="-4"/>
          <w:sz w:val="28"/>
        </w:rPr>
        <w:t>19日</w:t>
      </w:r>
      <w:r>
        <w:rPr>
          <w:spacing w:val="-7"/>
          <w:sz w:val="28"/>
        </w:rPr>
        <w:t>印</w:t>
      </w:r>
      <w:r>
        <w:rPr>
          <w:sz w:val="28"/>
        </w:rPr>
        <w:t>发</w:t>
      </w:r>
    </w:p>
    <w:sectPr>
      <w:pgSz w:w="11910" w:h="16840"/>
      <w:pgMar w:header="0" w:footer="349" w:top="1580" w:bottom="540" w:left="1480" w:right="1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新宋体">
    <w:altName w:val="新宋体"/>
    <w:charset w:val="86"/>
    <w:family w:val="modern"/>
    <w:pitch w:val="fixed"/>
  </w:font>
  <w:font w:name="仿宋">
    <w:altName w:val="仿宋"/>
    <w:charset w:val="86"/>
    <w:family w:val="modern"/>
    <w:pitch w:val="fixed"/>
  </w:font>
  <w:font w:name="宋体">
    <w:altName w:val="宋体"/>
    <w:charset w:val="86"/>
    <w:family w:val="auto"/>
    <w:pitch w:val="variable"/>
  </w:font>
  <w:font w:name="黑体">
    <w:altName w:val="黑体"/>
    <w:charset w:val="86"/>
    <w:family w:val="modern"/>
    <w:pitch w:val="fixed"/>
  </w:font>
  <w:font w:name="PMingLiU">
    <w:altName w:val="PMingLiU"/>
    <w:charset w:val="0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51458560">
          <wp:simplePos x="0" y="0"/>
          <wp:positionH relativeFrom="page">
            <wp:posOffset>7211043</wp:posOffset>
          </wp:positionH>
          <wp:positionV relativeFrom="page">
            <wp:posOffset>10343165</wp:posOffset>
          </wp:positionV>
          <wp:extent cx="334074" cy="334074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34074" cy="3340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61.712158pt;margin-top:754.72937pt;width:48.9pt;height:18.1pt;mso-position-horizontal-relative:page;mso-position-vertical-relative:page;z-index:-251856896" type="#_x0000_t202" filled="false" stroked="false">
          <v:textbox inset="0,0,0,0">
            <w:txbxContent>
              <w:p>
                <w:pPr>
                  <w:spacing w:line="342" w:lineRule="exact" w:before="0"/>
                  <w:ind w:left="20" w:right="0" w:firstLine="0"/>
                  <w:jc w:val="left"/>
                  <w:rPr>
                    <w:rFonts w:ascii="新宋体" w:hAnsi="新宋体"/>
                    <w:sz w:val="28"/>
                  </w:rPr>
                </w:pPr>
                <w:r>
                  <w:rPr>
                    <w:rFonts w:ascii="新宋体" w:hAnsi="新宋体"/>
                    <w:sz w:val="28"/>
                  </w:rPr>
                  <w:t>— 1</w:t>
                </w:r>
                <w:r>
                  <w:rPr>
                    <w:rFonts w:ascii="新宋体" w:hAnsi="新宋体"/>
                    <w:spacing w:val="-43"/>
                    <w:sz w:val="28"/>
                  </w:rPr>
                  <w:t> </w:t>
                </w:r>
                <w:r>
                  <w:rPr>
                    <w:rFonts w:ascii="新宋体" w:hAnsi="新宋体"/>
                    <w:sz w:val="28"/>
                  </w:rPr>
                  <w:t>—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51460608">
          <wp:simplePos x="0" y="0"/>
          <wp:positionH relativeFrom="page">
            <wp:posOffset>7211043</wp:posOffset>
          </wp:positionH>
          <wp:positionV relativeFrom="page">
            <wp:posOffset>10343165</wp:posOffset>
          </wp:positionV>
          <wp:extent cx="334074" cy="334074"/>
          <wp:effectExtent l="0" t="0" r="0" b="0"/>
          <wp:wrapNone/>
          <wp:docPr id="3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34074" cy="3340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仿宋" w:hAnsi="仿宋" w:eastAsia="仿宋" w:cs="仿宋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仿宋" w:hAnsi="仿宋" w:eastAsia="仿宋" w:cs="仿宋"/>
      <w:sz w:val="32"/>
      <w:szCs w:val="32"/>
      <w:lang w:val="zh-CN" w:eastAsia="zh-CN" w:bidi="zh-CN"/>
    </w:rPr>
  </w:style>
  <w:style w:styleId="Heading1" w:type="paragraph">
    <w:name w:val="Heading 1"/>
    <w:basedOn w:val="Normal"/>
    <w:uiPriority w:val="1"/>
    <w:qFormat/>
    <w:pPr>
      <w:spacing w:line="603" w:lineRule="exact"/>
      <w:ind w:left="364" w:right="472"/>
      <w:jc w:val="center"/>
      <w:outlineLvl w:val="1"/>
    </w:pPr>
    <w:rPr>
      <w:rFonts w:ascii="PMingLiU" w:hAnsi="PMingLiU" w:eastAsia="PMingLiU" w:cs="PMingLiU"/>
      <w:sz w:val="44"/>
      <w:szCs w:val="4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png"/><Relationship Id="rId7" Type="http://schemas.openxmlformats.org/officeDocument/2006/relationships/footer" Target="footer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2025-07-08T02:01:35Z</dcterms:created>
  <dcterms:modified xsi:type="dcterms:W3CDTF">2025-07-08T02:01:35Z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2025-07-08T00:00:00Z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2025-07-08T00:00:00Z</vt:filetime>
  </property>
</Properties>
</file>